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ZOZ/ZP/1</w:t>
      </w:r>
      <w:r>
        <w:rPr>
          <w:rFonts w:cs="Calibri" w:ascii="Times New Roman" w:hAnsi="Times New Roman"/>
          <w:sz w:val="22"/>
          <w:szCs w:val="22"/>
        </w:rPr>
        <w:t>5</w:t>
      </w:r>
      <w:r>
        <w:rPr>
          <w:rFonts w:cs="Calibri" w:ascii="Times New Roman" w:hAnsi="Times New Roman"/>
          <w:sz w:val="22"/>
          <w:szCs w:val="22"/>
        </w:rPr>
        <w:t>/1</w:t>
      </w:r>
      <w:r>
        <w:rPr>
          <w:rFonts w:cs="Calibri" w:ascii="Times New Roman" w:hAnsi="Times New Roman"/>
          <w:sz w:val="22"/>
          <w:szCs w:val="22"/>
        </w:rPr>
        <w:t>1</w:t>
      </w:r>
      <w:r>
        <w:rPr>
          <w:rFonts w:cs="Calibri" w:ascii="Times New Roman" w:hAnsi="Times New Roman"/>
          <w:sz w:val="22"/>
          <w:szCs w:val="22"/>
        </w:rPr>
        <w:t>/2022</w:t>
        <w:tab/>
        <w:tab/>
        <w:t xml:space="preserve">        </w:t>
      </w:r>
      <w:r>
        <w:rPr>
          <w:rFonts w:cs="Calibri" w:ascii="Times New Roman" w:hAnsi="Times New Roman" w:cstheme="minorHAnsi"/>
          <w:sz w:val="22"/>
          <w:szCs w:val="22"/>
        </w:rPr>
        <w:t xml:space="preserve">Pińczów, dnia </w:t>
      </w:r>
      <w:r>
        <w:rPr>
          <w:rFonts w:cs="Calibri" w:ascii="Times New Roman" w:hAnsi="Times New Roman" w:cstheme="minorHAnsi"/>
          <w:sz w:val="22"/>
          <w:szCs w:val="22"/>
        </w:rPr>
        <w:t>15</w:t>
      </w:r>
      <w:r>
        <w:rPr>
          <w:rFonts w:cs="Calibri" w:ascii="Times New Roman" w:hAnsi="Times New Roman" w:cstheme="minorHAnsi"/>
          <w:sz w:val="22"/>
          <w:szCs w:val="22"/>
        </w:rPr>
        <w:t>.1</w:t>
      </w:r>
      <w:r>
        <w:rPr>
          <w:rFonts w:cs="Calibri" w:ascii="Times New Roman" w:hAnsi="Times New Roman" w:cstheme="minorHAnsi"/>
          <w:sz w:val="22"/>
          <w:szCs w:val="22"/>
        </w:rPr>
        <w:t>1</w:t>
      </w:r>
      <w:r>
        <w:rPr>
          <w:rFonts w:cs="Calibri" w:ascii="Times New Roman" w:hAnsi="Times New Roman" w:cstheme="minorHAnsi"/>
          <w:sz w:val="22"/>
          <w:szCs w:val="22"/>
        </w:rPr>
        <w:t>.2022 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ODPOWIEDŹ NR 1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„KOMPLEKSOWE UBEZPIECZENIE ZESPOŁU OPIEKI ZDROWOTNEJ W PIŃCZOWIE”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.</w:t>
      </w:r>
    </w:p>
    <w:p>
      <w:pPr>
        <w:pStyle w:val="Normal"/>
        <w:spacing w:lineRule="auto" w:line="276" w:before="360" w:after="120"/>
        <w:ind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 xml:space="preserve">– Zespół Opieki Zdrowotnej w Pińczowie, udziela na podstawie art. 284 ust. 2 ustawy PZP odpowiedzi na wnioski Wykonawców złożone w przedmiotowym postępowaniu w dniu </w:t>
      </w:r>
      <w:r>
        <w:rPr>
          <w:rFonts w:cs="Calibri" w:ascii="Times New Roman" w:hAnsi="Times New Roman" w:cstheme="minorHAnsi"/>
          <w:sz w:val="22"/>
          <w:szCs w:val="22"/>
        </w:rPr>
        <w:t>10</w:t>
      </w:r>
      <w:r>
        <w:rPr>
          <w:rFonts w:cs="Calibri" w:ascii="Times New Roman" w:hAnsi="Times New Roman" w:cstheme="minorHAnsi"/>
          <w:sz w:val="22"/>
          <w:szCs w:val="22"/>
        </w:rPr>
        <w:t>.1</w:t>
      </w:r>
      <w:r>
        <w:rPr>
          <w:rFonts w:cs="Calibri" w:ascii="Times New Roman" w:hAnsi="Times New Roman" w:cstheme="minorHAnsi"/>
          <w:sz w:val="22"/>
          <w:szCs w:val="22"/>
        </w:rPr>
        <w:t>1</w:t>
      </w:r>
      <w:r>
        <w:rPr>
          <w:rFonts w:cs="Calibri" w:ascii="Times New Roman" w:hAnsi="Times New Roman" w:cstheme="minorHAnsi"/>
          <w:sz w:val="22"/>
          <w:szCs w:val="22"/>
        </w:rPr>
        <w:t>.2022 r.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Defaul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Prosimy o przesunięcie terminu składania ofert na dzień 18 11 2022 godz. 12.00. Spowodowane jest to złożonością sprawy.</w:t>
      </w:r>
    </w:p>
    <w:p>
      <w:pPr>
        <w:pStyle w:val="Default"/>
        <w:numPr>
          <w:ilvl w:val="0"/>
          <w:numId w:val="0"/>
        </w:numPr>
        <w:ind w:left="720" w:hanging="0"/>
        <w:rPr>
          <w:color w:val="0070C0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numPr>
          <w:ilvl w:val="0"/>
          <w:numId w:val="0"/>
        </w:numPr>
        <w:ind w:left="720" w:hanging="0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dpowiedź:</w:t>
      </w:r>
    </w:p>
    <w:p>
      <w:pPr>
        <w:pStyle w:val="Default"/>
        <w:numPr>
          <w:ilvl w:val="0"/>
          <w:numId w:val="0"/>
        </w:numPr>
        <w:ind w:left="72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wyraża zgodę na przesunięcie terminu składania ofert na 18.11.2022 r. godzina 10:00 i terminu otwarcia ofert na 18.11.2022 r. godzina 10:30.</w:t>
      </w:r>
    </w:p>
    <w:p>
      <w:pPr>
        <w:pStyle w:val="Default"/>
        <w:numPr>
          <w:ilvl w:val="0"/>
          <w:numId w:val="0"/>
        </w:numPr>
        <w:ind w:left="72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związku z powyższym zmienia się w Rozdziale XIX SWZ:</w:t>
      </w:r>
    </w:p>
    <w:p>
      <w:pPr>
        <w:pStyle w:val="Default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- pkt 7 z ,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>,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>Termin składania ofert.  Ofertę wraz wymaganymi Załącznikami należy złożyć w terminie do dnia 16.11.2022 r. do godz. 10:00.”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na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>,,Termin składania ofert.  Ofertę wraz wymaganymi Załącznikami należy złożyć w terminie do dnia 18.11.2022 r. do godz. 10:00.”.</w:t>
      </w:r>
    </w:p>
    <w:p>
      <w:pPr>
        <w:pStyle w:val="Default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- pkt 8 z ,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 xml:space="preserve">,Termin otwarcia ofert. Otwarcie ofert nastąpi w dniu 16.11.2022 r. o godzinie 10:30.”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na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 xml:space="preserve"> ,,Termin otwarcia ofert. Otwarcie ofert nastąpi w dniu 18.11.2022 r. o godzinie 10:30.”.</w:t>
      </w:r>
    </w:p>
    <w:p>
      <w:pPr>
        <w:pStyle w:val="Default"/>
        <w:numPr>
          <w:ilvl w:val="0"/>
          <w:numId w:val="0"/>
        </w:numPr>
        <w:ind w:left="720" w:hanging="0"/>
        <w:rPr>
          <w:b/>
          <w:b/>
          <w:bCs/>
          <w:color w:val="0070C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0"/>
        </w:numPr>
        <w:ind w:left="720" w:hanging="0"/>
        <w:rPr>
          <w:color w:val="0070C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Do pkt 1, 2, 3, 4, Prosimy o skrócenie terminu wykonania zamówienia do 1 roku.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z w:val="22"/>
          <w:szCs w:val="22"/>
        </w:rPr>
        <w:t>Odpowiedź: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nie akceptuje skrócenia wnioskowanego zamówienia.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cs="Tahoma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W przypadku braku zgody prosimy o wprowadzenie klauzuli wypowiedzenia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 xml:space="preserve">Klauzula wypowiedzenia umowy 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Z zachowaniem pozostałych, niezmienionych niniejszą klauzulą, postanowień umowy ubezpieczenia, w tym określonych we wniosku i ogólnych (szczególnych) warunkach ubezpieczenia strony uzgodniły, że: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Każda ze stron może wypowiedzieć umowę ubezpieczenia z zachowaniem 2 miesięcznego okresu wypowiedzenia ze skutkiem na koniec pierwszego okresu rozliczeniowego, z zastrzeżeniem, że Ubezpieczyciel może tego dokonać wyłącznie z ważnych powodów. Do ważnych powodów należą wyłącznie: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1. przekroczenie wskaźnika szkodowości, gdy szkodowość rozumiana jako stosunek rezerw oraz wypłaconych odszkodowań z tytułu ubezpieczenia danego rodzaju do składki przypisanej z tego samego rodzaju ubezpieczenia, za pierwsze 9 miesięcy ochrony, przekroczy 40%;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2. niemożność uzyskania przez Ubezpieczyciela pokrycia reasekuracyjnego dla jakichkolwiek ryzyk wskazanych w Umowie Ubezpieczenia,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3. znaczne pogorszenie finansowych lub pozafinansowych warunków reasekuracyjnych,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>4. zmiana polityki polegająca na wycofaniu się Ubezpieczyciela z danego segmentu Klientów lub danej grupy ryzyk ubezpieczeniowych.</w:t>
      </w:r>
    </w:p>
    <w:p>
      <w:pPr>
        <w:pStyle w:val="Default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z w:val="22"/>
          <w:szCs w:val="22"/>
        </w:rPr>
        <w:t>Odpowiedź:</w:t>
      </w:r>
    </w:p>
    <w:p>
      <w:pPr>
        <w:pStyle w:val="Normal"/>
        <w:ind w:left="72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nie akceptuje wprowadzenia treści wnioskowanej klauzuli.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 xml:space="preserve">UBEZPIECZENIE ODPOWIEDZIALNOŚCI CYWILNEJ </w:t>
      </w:r>
    </w:p>
    <w:p>
      <w:pPr>
        <w:pStyle w:val="Normal"/>
        <w:ind w:left="0" w:right="0" w:firstLine="708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 xml:space="preserve">UBEZPIECZENIE MIENIA OD WSZYSTKICH RYZYK </w:t>
      </w:r>
    </w:p>
    <w:p>
      <w:pPr>
        <w:pStyle w:val="Normal"/>
        <w:ind w:left="0" w:right="0" w:firstLine="708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 xml:space="preserve">UBEZPIECZENIE SPRZĘTU ELEKTRONICZNEGO OD WSZYSTKICH RYZYK  </w:t>
      </w:r>
    </w:p>
    <w:p>
      <w:pPr>
        <w:pStyle w:val="Normal"/>
        <w:ind w:left="720" w:right="0" w:hanging="0"/>
        <w:jc w:val="both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  <w:t xml:space="preserve">Zwracamy się z prośbą o odpowiedzi na poniższe pytania: </w:t>
      </w:r>
    </w:p>
    <w:p>
      <w:pPr>
        <w:pStyle w:val="Normal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W odniesieniu do   Ubezpieczenie sprzętu elektronicznego od wszystkich ryzyk – Klauzula zastąpienia dla sprzętu elektronicznego – prosimy o wyrażenie zgody  na wprowadzenie zapisu „(…)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Odszkodowanie nie może przekroczyć wartości poszczególnego przedmiotu przyjętej do ubezpieczenia oraz nie może przewyższyć kosztu zakupu urządzenia o możliwie zbliżonym typie rodzaju, parametrach technicznych”.</w:t>
      </w:r>
    </w:p>
    <w:p>
      <w:pPr>
        <w:pStyle w:val="Default"/>
        <w:numPr>
          <w:ilvl w:val="0"/>
          <w:numId w:val="0"/>
        </w:numPr>
        <w:spacing w:lineRule="auto" w:line="240" w:before="0" w:after="200"/>
        <w:ind w:left="720" w:hanging="0"/>
        <w:contextualSpacing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pacing w:val="0"/>
          <w:sz w:val="22"/>
          <w:szCs w:val="22"/>
        </w:rPr>
        <w:t>Odpowiedź: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potwierdza,  że odszkodowanie nie może przekroczyć kosztu zakupu urządzenia o zbliżonych parametrach .</w:t>
      </w:r>
    </w:p>
    <w:p>
      <w:pPr>
        <w:pStyle w:val="Normal"/>
        <w:spacing w:lineRule="auto" w:line="240"/>
        <w:ind w:left="644" w:right="0" w:hanging="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 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W odniesieniu do  ubezpieczenia sprzętu elektronicznego (stacjonarnego i przenośnego) od wszystkich ryzyk, prosimy o uzupełnienie informacji: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- kto dokonuje konserwacji sprzętu elektronicznego?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Firma zewnętrzna, Serwis specjalistyczny.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-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czy jest zawarta stała umowa z firmą serwisową/konserwacyjną?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pacing w:val="0"/>
          <w:sz w:val="22"/>
          <w:szCs w:val="22"/>
        </w:rPr>
        <w:t>Odpowiedź: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Tak.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-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jaki jest wiek zgłoszonego sprzętu (liczony od daty produkcji)?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pacing w:val="0"/>
          <w:sz w:val="22"/>
          <w:szCs w:val="22"/>
        </w:rPr>
        <w:t>Odpowiedź: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Około 5 lat.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- czy wśród zgłoszonego sprzętu występuje sprzęt zlokalizowany w pomieszczeniach poniżej poziomu gruntu?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pacing w:val="0"/>
          <w:sz w:val="22"/>
          <w:szCs w:val="22"/>
        </w:rPr>
        <w:t>Odpowiedź: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T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ak.</w:t>
      </w:r>
    </w:p>
    <w:p>
      <w:pPr>
        <w:pStyle w:val="Normal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W odniesieniu do mienia zgłaszanego do ubezpieczenia – pozycja 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Maszyny, urządzenia i wyposażenie, w tym niskocenne przedmioty w użytkowaniu, niskowartościowe środki trwałe, środki poza ewidencją i środki dzierżawione amortyzowane przez Ubezpieczonego, sprzęt elektroniczny (własne i powierzone)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, w Załączniku nr 2 do SIWZ Szczegółowy opis przedmiotu zamówienia prosimy o informację, czy w ramach w/w pozycji ubezpieczony jest sprzęt elektroniczny, w tym medyczny. Jeśli tak to prosimy o podanie jego wartości (jaka jest to suma ubezpieczenia w zł.) w podziale na medyczny/niemedyczny, przesłanie wykazu tego sprzętu oraz  zwracamy się z pytaniem, czy Zamawiający dopuszcza możliwość  ubezpieczenia w/w sprzętu w ramach ubezpieczenia  sprzętu elektronicznego  od wszystkich ryzyk?</w:t>
      </w:r>
    </w:p>
    <w:p>
      <w:pPr>
        <w:pStyle w:val="Default"/>
        <w:numPr>
          <w:ilvl w:val="0"/>
          <w:numId w:val="0"/>
        </w:numPr>
        <w:spacing w:lineRule="auto" w:line="240" w:before="0" w:after="200"/>
        <w:ind w:left="72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numPr>
          <w:ilvl w:val="0"/>
          <w:numId w:val="2"/>
        </w:numPr>
        <w:spacing w:lineRule="auto" w:line="240" w:before="0" w:after="20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Elektroniczny sprzęt medyczny wnioskowany jest do ubezpieczenia w zakresie all risk wg wartości z załącznika nr 10.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W przypadku braku zgody na ubezpieczenie w/w sprzętu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w ramach ubezpieczenia  sprzętu elektronicznego  od wszystkich ryzyk zwracamy się z pytaniem, czy Zamawiający wyraża zgodę na  wprowadzenie wyłączenia za szkody spowodowane w ubezpieczonym sprzęcie medycznym przez uszkodzony lub źle funkcjonujący system klimatyzacyjny, jeżeli system ten nie został wyposażony w oddzielny system alarmowy, który w sposób ciągły monitoruje temperaturę i wilgotność pomieszczeń w których znajduje się ubezpieczony sprzęt oraz może uruchomić niezależne alarmy optyczne lub akustyczne. Powyższe  wyłączenie dotyczy sprzętu, który z uwagi na specyfikę swojej pracy wymaga stosowania odpowiednio regulowanych zewnętrznych warunków klimatyzacyjnych (odpowiedniej temperatury i wilgotności), zgodnie z instrukcją producenta sprzętu oraz poniższe zapisy?</w:t>
      </w:r>
    </w:p>
    <w:p>
      <w:pPr>
        <w:pStyle w:val="Default"/>
        <w:numPr>
          <w:ilvl w:val="0"/>
          <w:numId w:val="0"/>
        </w:numPr>
        <w:spacing w:lineRule="auto" w:line="240"/>
        <w:ind w:left="144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bookmarkStart w:id="0" w:name="_Hlk117858715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Brak zgody na wnioskowane ograniczenie ochrony ubezp</w:t>
      </w:r>
      <w:bookmarkStart w:id="1" w:name="_Hlk117859499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iecz</w:t>
      </w:r>
      <w:bookmarkEnd w:id="1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eniowej.</w:t>
      </w:r>
      <w:bookmarkEnd w:id="0"/>
    </w:p>
    <w:p>
      <w:pPr>
        <w:pStyle w:val="Normal"/>
        <w:spacing w:lineRule="auto" w:line="240"/>
        <w:ind w:left="720" w:right="0" w:hanging="0"/>
        <w:jc w:val="both"/>
        <w:rPr>
          <w:rFonts w:eastAsia="Times New Roman" w:cs="Tahoma"/>
          <w:color w:val="000000"/>
          <w:spacing w:val="0"/>
          <w:lang w:eastAsia="pl-P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Ponadto w przypadku braku zgody na ubezpieczenie w/w sprzętu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w ramach ubezpieczenia  sprzętu elektronicznego  od wszystkich ryzyk zwracamy się z prośbą o wprowadzenie poniższych zapisów: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W trakcie trwania umowy ubezpieczenia Ubezpieczający lub Ubezpieczony obowiązany jest: 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1) stosować się do wymagań i zaleceń producenta dotyczących utrzymania sprzętu w dobrym stanie technicznym zapewniającym prawidłową jego eksploatację oraz stosować środki ostrożności w celu uniknięcia szkód, 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2) utrzymywać w należytym stanie środki zabezpieczenia mienia przed szkodą oraz dołożyć należytej staranności w celu 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zapewnienia sprawnego funkcjonowania tych zabezpieczeń, 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>3) zapewnić każdorazowo przedstawicielowi Ubezpieczyciela  dostęp do przedmiotu objętego ubezpieczeniem w celu przeprowadzenia lustracji ryzyka,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>4) przestrzegać wymogów w zakresie bezpieczeństwa przeciw kradzieżowego (</w:t>
      </w:r>
      <w:r>
        <w:rPr>
          <w:rFonts w:cs="Tahoma" w:ascii="Times New Roman" w:hAnsi="Times New Roman"/>
          <w:color w:val="000000"/>
          <w:spacing w:val="0"/>
          <w:w w:val="103"/>
          <w:sz w:val="22"/>
          <w:szCs w:val="22"/>
        </w:rPr>
        <w:t>ubezpie</w:t>
      </w:r>
      <w:r>
        <w:rPr>
          <w:rFonts w:cs="Tahoma" w:ascii="Times New Roman" w:hAnsi="Times New Roman"/>
          <w:color w:val="000000"/>
          <w:spacing w:val="0"/>
          <w:w w:val="102"/>
          <w:sz w:val="22"/>
          <w:szCs w:val="22"/>
        </w:rPr>
        <w:t>czone mienie powinno znajdować się w budynkach o odpo</w:t>
      </w:r>
      <w:r>
        <w:rPr>
          <w:rFonts w:cs="Tahoma" w:ascii="Times New Roman" w:hAnsi="Times New Roman"/>
          <w:color w:val="000000"/>
          <w:spacing w:val="-3"/>
          <w:sz w:val="22"/>
          <w:szCs w:val="22"/>
        </w:rPr>
        <w:t>wiednio trwałej konstrukcji. Przez odpowiednią trwałą konstrukcję rozumie się budynek wykonany z materiałów i w technologii właściwej dla jego przeznaczenia użytkowego - zgodnie z prze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pisami prawa budowlanego, w którym nie jest możliwe poko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nanie poszczególnych elementów konstrukcji (ścian, podłóg, </w:t>
      </w:r>
      <w:r>
        <w:rPr>
          <w:rFonts w:eastAsia="Times New Roman" w:cs="Tahoma" w:ascii="Times New Roman" w:hAnsi="Times New Roman"/>
          <w:color w:val="000000"/>
          <w:spacing w:val="-2"/>
          <w:sz w:val="22"/>
          <w:szCs w:val="22"/>
          <w:lang w:eastAsia="pl-PL"/>
        </w:rPr>
        <w:t>stropów) bez ich równoczesnego uszkodzenia lub zniszczenia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 </w:t>
      </w:r>
      <w:r>
        <w:rPr>
          <w:rFonts w:eastAsia="Times New Roman" w:cs="Tahoma" w:ascii="Times New Roman" w:hAnsi="Times New Roman"/>
          <w:color w:val="000000"/>
          <w:spacing w:val="0"/>
          <w:w w:val="102"/>
          <w:sz w:val="22"/>
          <w:szCs w:val="22"/>
          <w:lang w:eastAsia="pl-PL"/>
        </w:rPr>
        <w:t>przy użyciu narzędzi. Lokal, w którym znajduje się ubezpie</w:t>
      </w:r>
      <w:r>
        <w:rPr>
          <w:rFonts w:eastAsia="Times New Roman" w:cs="Tahoma" w:ascii="Times New Roman" w:hAnsi="Times New Roman"/>
          <w:color w:val="000000"/>
          <w:spacing w:val="-3"/>
          <w:sz w:val="22"/>
          <w:szCs w:val="22"/>
          <w:lang w:eastAsia="pl-PL"/>
        </w:rPr>
        <w:t>czone mienie nie może posiadać niezabezpieczonych otworów</w:t>
      </w: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 </w:t>
      </w:r>
      <w:r>
        <w:rPr>
          <w:rFonts w:eastAsia="Times New Roman" w:cs="Tahoma" w:ascii="Times New Roman" w:hAnsi="Times New Roman"/>
          <w:color w:val="000000"/>
          <w:spacing w:val="0"/>
          <w:w w:val="101"/>
          <w:sz w:val="22"/>
          <w:szCs w:val="22"/>
          <w:lang w:eastAsia="pl-PL"/>
        </w:rPr>
        <w:t xml:space="preserve">(drzwi, okna), przez które bez użycia siły i narzędzi możliwy </w:t>
      </w:r>
      <w:r>
        <w:rPr>
          <w:rFonts w:eastAsia="Times New Roman" w:cs="Tahoma" w:ascii="Times New Roman" w:hAnsi="Times New Roman"/>
          <w:color w:val="000000"/>
          <w:spacing w:val="-2"/>
          <w:sz w:val="22"/>
          <w:szCs w:val="22"/>
          <w:lang w:eastAsia="pl-PL"/>
        </w:rPr>
        <w:t>jest dostęp do ubezpieczonego mienia. Drzwi zewnętrzne mu</w:t>
      </w:r>
      <w:r>
        <w:rPr>
          <w:rFonts w:eastAsia="Times New Roman" w:cs="Tahoma" w:ascii="Times New Roman" w:hAnsi="Times New Roman"/>
          <w:color w:val="000000"/>
          <w:spacing w:val="-1"/>
          <w:sz w:val="22"/>
          <w:szCs w:val="22"/>
          <w:lang w:eastAsia="pl-PL"/>
        </w:rPr>
        <w:t>szą być zamknięte na dwa różne zamki wielozastawkowe lub</w:t>
      </w:r>
      <w:r>
        <w:rPr>
          <w:rFonts w:eastAsia="Times New Roman" w:cs="Tahoma" w:ascii="Times New Roman" w:hAnsi="Times New Roman"/>
          <w:color w:val="000000"/>
          <w:spacing w:val="0"/>
          <w:w w:val="101"/>
          <w:sz w:val="22"/>
          <w:szCs w:val="22"/>
          <w:lang w:eastAsia="pl-PL"/>
        </w:rPr>
        <w:t xml:space="preserve"> </w:t>
      </w:r>
      <w:r>
        <w:rPr>
          <w:rFonts w:eastAsia="Times New Roman" w:cs="Tahoma" w:ascii="Times New Roman" w:hAnsi="Times New Roman"/>
          <w:color w:val="000000"/>
          <w:spacing w:val="-1"/>
          <w:sz w:val="22"/>
          <w:szCs w:val="22"/>
          <w:lang w:eastAsia="pl-PL"/>
        </w:rPr>
        <w:t>co najmniej na dwie różne kłódki wielozastawkowe zawieszo</w:t>
      </w:r>
      <w:r>
        <w:rPr>
          <w:rFonts w:eastAsia="Times New Roman" w:cs="Tahoma" w:ascii="Times New Roman" w:hAnsi="Times New Roman"/>
          <w:color w:val="000000"/>
          <w:spacing w:val="-4"/>
          <w:sz w:val="22"/>
          <w:szCs w:val="22"/>
          <w:lang w:eastAsia="pl-PL"/>
        </w:rPr>
        <w:t>ne na oddzielnych skoblach lub na jeden zamek, którego odpor</w:t>
      </w:r>
      <w:r>
        <w:rPr>
          <w:rFonts w:eastAsia="Times New Roman" w:cs="Tahoma" w:ascii="Times New Roman" w:hAnsi="Times New Roman"/>
          <w:color w:val="000000"/>
          <w:spacing w:val="-3"/>
          <w:sz w:val="22"/>
          <w:szCs w:val="22"/>
          <w:lang w:eastAsia="pl-PL"/>
        </w:rPr>
        <w:t>ność na włamanie potwierdzona jest atestem. Wszelkie oszkle</w:t>
      </w:r>
      <w:r>
        <w:rPr>
          <w:rFonts w:eastAsia="Times New Roman" w:cs="Tahoma" w:ascii="Times New Roman" w:hAnsi="Times New Roman"/>
          <w:color w:val="000000"/>
          <w:spacing w:val="-2"/>
          <w:sz w:val="22"/>
          <w:szCs w:val="22"/>
          <w:lang w:eastAsia="pl-PL"/>
        </w:rPr>
        <w:t>nia okien, drzwi i innych otworów zewnętrznych lokalu z ubez</w:t>
      </w:r>
      <w:r>
        <w:rPr>
          <w:rFonts w:eastAsia="Times New Roman" w:cs="Tahoma" w:ascii="Times New Roman" w:hAnsi="Times New Roman"/>
          <w:color w:val="000000"/>
          <w:spacing w:val="0"/>
          <w:w w:val="103"/>
          <w:sz w:val="22"/>
          <w:szCs w:val="22"/>
          <w:lang w:eastAsia="pl-PL"/>
        </w:rPr>
        <w:t xml:space="preserve">pieczonym mieniem do których jest dostęp - w tym również </w:t>
      </w:r>
      <w:r>
        <w:rPr>
          <w:rFonts w:eastAsia="Times New Roman" w:cs="Tahoma" w:ascii="Times New Roman" w:hAnsi="Times New Roman"/>
          <w:color w:val="000000"/>
          <w:spacing w:val="-2"/>
          <w:sz w:val="22"/>
          <w:szCs w:val="22"/>
          <w:lang w:eastAsia="pl-PL"/>
        </w:rPr>
        <w:t>z przybudówek, balkonów, tarasów itp. powinny być w należy-</w:t>
      </w:r>
      <w:r>
        <w:rPr>
          <w:rFonts w:eastAsia="Times New Roman" w:cs="Tahoma" w:ascii="Times New Roman" w:hAnsi="Times New Roman"/>
          <w:color w:val="000000"/>
          <w:spacing w:val="-5"/>
          <w:sz w:val="22"/>
          <w:szCs w:val="22"/>
          <w:lang w:eastAsia="pl-PL"/>
        </w:rPr>
        <w:t>tym stanie technicznym wykonane ze szkła warstwowego odpor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nego na rozbicie lub zabezpieczone stałymi albo ruchomymi</w:t>
      </w:r>
      <w:r>
        <w:rPr>
          <w:rFonts w:eastAsia="Times New Roman" w:cs="Tahoma" w:ascii="Times New Roman" w:hAnsi="Times New Roman"/>
          <w:color w:val="000000"/>
          <w:spacing w:val="0"/>
          <w:w w:val="101"/>
          <w:sz w:val="22"/>
          <w:szCs w:val="22"/>
          <w:lang w:eastAsia="pl-PL"/>
        </w:rPr>
        <w:t xml:space="preserve"> </w:t>
      </w:r>
      <w:r>
        <w:rPr>
          <w:rFonts w:eastAsia="Times New Roman" w:cs="Tahoma" w:ascii="Times New Roman" w:hAnsi="Times New Roman"/>
          <w:color w:val="000000"/>
          <w:spacing w:val="-1"/>
          <w:sz w:val="22"/>
          <w:szCs w:val="22"/>
          <w:lang w:eastAsia="pl-PL"/>
        </w:rPr>
        <w:t>osłonami mechanicznymi typu kraty stalowe, żaluzje, okienni</w:t>
      </w:r>
      <w:r>
        <w:rPr>
          <w:rFonts w:eastAsia="Times New Roman" w:cs="Tahoma" w:ascii="Times New Roman" w:hAnsi="Times New Roman"/>
          <w:color w:val="000000"/>
          <w:spacing w:val="0"/>
          <w:w w:val="104"/>
          <w:sz w:val="22"/>
          <w:szCs w:val="22"/>
          <w:lang w:eastAsia="pl-PL"/>
        </w:rPr>
        <w:t xml:space="preserve">ce. Ruchome osłony muszą być zamknięte na co najmniej </w:t>
      </w:r>
      <w:r>
        <w:rPr>
          <w:rFonts w:eastAsia="Times New Roman" w:cs="Tahoma" w:ascii="Times New Roman" w:hAnsi="Times New Roman"/>
          <w:color w:val="000000"/>
          <w:spacing w:val="-2"/>
          <w:sz w:val="22"/>
          <w:szCs w:val="22"/>
          <w:lang w:eastAsia="pl-PL"/>
        </w:rPr>
        <w:t>jedną kłódkę wielozastawkową lub inne atestowane zabezpieczenie przeciwwłamaniowe)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5) w przypadku ubezpieczenia danych – co najmniej raz w tygodniu wykonywać kopie zapasowe danych i przechowywać je w szafie ogniotrwałej, sejfie lub innej strefie pożarowej, 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>6) w przypadku ubezpieczenia sprzętu elektronicznego – zainstalować i konserwować urządzenia zabezpieczające sprzęt  elektroniczny przed pośrednim działaniem wyładowań elektrycznych w atmosferze i zjawisk pochodnych zgodnie z zaleceniami producentów sprzętu elektronicznego, urządzeń zabezpieczających i alarmowych.</w:t>
      </w:r>
    </w:p>
    <w:p>
      <w:pPr>
        <w:pStyle w:val="Default"/>
        <w:numPr>
          <w:ilvl w:val="0"/>
          <w:numId w:val="0"/>
        </w:numPr>
        <w:autoSpaceDE w:val="false"/>
        <w:spacing w:lineRule="auto" w:line="240"/>
        <w:ind w:left="1429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Powyższy wniosek wykonawcy sporządzony w formie  instrukcji obsługi sprzętu nie podlega akceptacji przez zamawiającego który na bieżąco utrzymuje w dobrym stanie technicznym.  </w:t>
      </w:r>
    </w:p>
    <w:p>
      <w:pPr>
        <w:pStyle w:val="Normal"/>
        <w:autoSpaceDE w:val="false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Ubezpieczyciel  nie odpowiada za szkody spowodowane przez: 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1) wszelkiego rodzaju działania wojenne, konfiskaty, zniszczenia lub uszkodzenia w wyniku akcji władz państwowych; 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2) akty terroryzmu, sabotaż, strajki, zamieszki wewnętrzne i rozruchy;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3) trzęsienia ziemi, wybuch wulkanu, trzęsienia dna morskiego, tsunami, huragan, cyklon, tajfun, tornado;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4) działanie energii jądrowej lub skażenie radioaktywne; 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5) umyślne działanie lub zaniechanie lub rażące niedbalstwo Ubezpieczającego lub Ubezpieczonego, chyba, że w razie rażącego  niedbalstwa  zapłata  odszkodowania  odpowiada w danych okolicznościach względom słuszności, przy czym za winę osoby prawnej lub jednostki organizacyjnej niebędącej osobą prawną należy rozumieć winę: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a) w przedsiębiorstwach państwowych - dyrektora lub jego zastępców,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b) w spółkach z ograniczoną odpowiedzialnością i spółkach akcyjnych - członków zarządu lub prokurentów,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c)  w spółkach komandytowych i komandytowo-akcyjnych -komplementariuszy lub prokurentów,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d) w spółkach jawnych - wspólników lub prokurentów,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e) w spółkach partnerskich  - partnerów lub członków zarządu lub prokurentów,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f)  w spółkach cywilnych - wspólników,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g) w spółdzielniach, fundacjach i stowarzyszeniach - członków zarządu,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6) osuwanie się ziemi, jeżeli osuwanie to związane jest z prowadzonymi robotami ziemnymi;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7) szkody górnicze w rozumieniu prawa górniczego; 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8) działanie wirusa komputerowego.</w:t>
      </w:r>
    </w:p>
    <w:p>
      <w:pPr>
        <w:pStyle w:val="Default"/>
        <w:numPr>
          <w:ilvl w:val="0"/>
          <w:numId w:val="0"/>
        </w:numPr>
        <w:spacing w:lineRule="auto" w:line="240"/>
        <w:ind w:left="144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Brak zgody na wnioskowane ograniczenie ochrony ubezpieczeniowej z mieszaniną wielu nie powiązanych z sobą ryzyk.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2. Ochroną  ubezpieczeniową  Ubezpieczyciela   nie  są  objęte  utracone korzyści, utracona wartość rynkowa, utrata rynku, zwiększone koszty działalności powstałe w wyniku szkody, straty powstałe wskutek opóźnienia lub niewypełnienia zobowiązań, utrata kontraktów, rabatów, licencji, kary umowne, kary pieniężne w tym 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między innymi grzywny sądowe i administracyjne, podatki i inne należności publicznoprawne, opłaty manipulacyjne, odszkodowania o charakterze karnym, koszty procesów, koszty administracyjne, koszty najmu/użycia przedmiotów zastępczych oraz inne szkody lub straty pośrednie.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3. Ponadto nie są objęte ubezpieczeniem szkody: 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1) powstałe w okresie gwarancyjnym, za które odpowiedzialny jest producent, serwisant, sprzedawca lub dostawca; 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2) spowodowane wadami albo usterkami ujawnionymi przed zawarciem  umowy  ubezpieczenia,  znanymi  Ubezpieczającemu lub Ubezpieczonemu niezależnie od tego czy o takich wadach bądź usterkach wiedział Ubezpieczyciel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3) powstałe w czasie naprawy, podczas prób (za wyjątkiem prób dokonywanych w związku z okresowymi przeglądami i badaniami eksploatacyjnymi) oraz w czasie doświadczeń i eksperymentów;</w:t>
      </w:r>
    </w:p>
    <w:p>
      <w:pPr>
        <w:pStyle w:val="Normal"/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4) będące następstwem naturalnego zużycia  (starzenia), przechowywania  niezgodnie  z  wymaganiami  technicznymi  lub braku okresowych przeglądów konserwacyjnych; 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5) spowodowane kradzieżą bez włamania tj. bez pokonania wymaganych  zabezpieczeń  przeciwkradzieżowych  lub  zagubieniem;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6) powstałe podczas tymczasowego magazynowania lub okresowego wyłączenia z użytkowania ubezpieczonego sprzętu (nie  dotyczy  przerw  w  użytkowaniu  w  związku  z  konserwacją, przeglądem, naprawą);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7) którymi są wyłącznie defekty estetyczne, które nie mają wpływu na pracę sprzętu np.: zadrapania, wgniecenia; 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8) spowodowane w ubezpieczonym sprzęcie przez uszkodzony lub źle funkcjonujący system klimatyzacyjny, jeżeli system ten nie został wyposażony w oddzielny system alarmowy, który w sposób ciągły monitoruje temperaturę i wilgotność pomieszczeń w których znajduje się ubezpieczony sprzęt oraz może uruchomić niezależne alarmy optyczne lub akustyczne. Powyższe wyłączenie dotyczy sprzętu, który z uwagi na specyfikę swojej pracy wymaga stosowania odpowiednio regulowanych zewnętrznych warunków klimatyzacyjnych (odpowiedniej temperatury i wilgotności), zgodnie z instrukcją producenta sprzętu. 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4. Ubezpieczenie nie obejmuje części i materiałów, które z uwagi na swoją funkcję lub warunki pracy ulegają szybkiemu zużyciu lub podlegają okresowej wymianie w ramach konserwacji, takich jak: tonery, wywoływacze, odczynniki, środki gaśnicze i chłodnicze, taśmy barwiące, filmy, nośniki dźwięku i obrazu, folie różnego rodzaju, nośniki pisma i obrazu, tarcze siatkowe, bezpieczniki, żarówki, baterie jednorazowe, filtry, pomocnicze oprzyrządowanie w urządzeniach do rozbijania kamieni nerkowych  (poduszka wodna, głowica fal udarowo-wstrząsowych, elektrody i generator fal uderzeniowych) oraz wszelkiego rodzaju wymienne narzędzia np.: wiertła, frezy.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5. O ile nie umówiono się inaczej odpowiedzialność Ubezpieczyciela za </w:t>
        <w:tab/>
        <w:t>lampy (np.: kineskopy, rentgenowskie, laserowe) i nośniki obrazu (np. bębny selenowe), ograniczona jest do szkód spowodowanych działaniem ognia, wody i kradzieży z włamaniem oraz rabunku.</w:t>
      </w:r>
    </w:p>
    <w:p>
      <w:pPr>
        <w:pStyle w:val="Default"/>
        <w:numPr>
          <w:ilvl w:val="0"/>
          <w:numId w:val="0"/>
        </w:numPr>
        <w:spacing w:lineRule="auto" w:line="240"/>
        <w:ind w:left="1440" w:right="0" w:hanging="0"/>
        <w:jc w:val="both"/>
        <w:rPr>
          <w:rFonts w:eastAsia="Times New Roman" w:cs="Tahoma"/>
          <w:color w:val="000000"/>
          <w:spacing w:val="0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Default"/>
        <w:numPr>
          <w:ilvl w:val="0"/>
          <w:numId w:val="0"/>
        </w:numPr>
        <w:spacing w:lineRule="auto" w:line="240"/>
        <w:ind w:left="144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Brak zgody na wnioskowane ograniczenie ochrony ubezpieczeniowej z mieszaniną wielu nie powiązanych z sobą ryzyk.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Ponadto w przypadku braku zgody na ubezpieczenie sprzętu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 xml:space="preserve"> medycznego 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w ramach ubezpieczenia  sprzętu elektronicznego  od wszystkich ryzyk prosimy o wyrażenie</w:t>
      </w: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 xml:space="preserve"> zgody na włączenie poniższych klauzul: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Klauzula 121/1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Ustala się z zachowaniem pozostałych niezmienionych niniejszą klauzulą postanowień ogólnych warunków ubezpieczenia sprzętu elektronicznego, iż odpowiedzialność Ubezpieczyciela za utratę lub uszkodzenie lamp zostaje rozszerzona na wszystkie ryzyka na następujących warunkach: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- przy szkodach spowodowanych działaniem ognia, wody lub kradzieży z włamaniem oraz rabunku, odszkodowanie wypłacone będzie w pełnej wartości odtworzeniowej, tak samo jak za pozostałe części ubezpieczonego przedmiotu,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- przy szkodach, które zostały spowodowane przez inne niż wymienione wyżej ryzyka wartość odtworzeniowa będzie zmniejszona z tytułu zużycia lamp do momentu wystąpienia szkody zgodnie ze współczynnikiem zużycia podanym w pkt a) - Tabelą nr 1. albo w odniesieniu do tomografów komputerowych zgodnie ze wzorem podanym w pkt b).</w:t>
      </w:r>
    </w:p>
    <w:p>
      <w:pPr>
        <w:pStyle w:val="Normal"/>
        <w:spacing w:lineRule="auto" w:line="240"/>
        <w:ind w:left="72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Tabela nr 1</w:t>
      </w:r>
    </w:p>
    <w:tbl>
      <w:tblPr>
        <w:tblW w:w="8970" w:type="dxa"/>
        <w:jc w:val="left"/>
        <w:tblInd w:w="68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62"/>
        <w:gridCol w:w="2115"/>
        <w:gridCol w:w="2793"/>
      </w:tblGrid>
      <w:tr>
        <w:trPr>
          <w:trHeight w:val="255" w:hRule="atLeast"/>
          <w:cantSplit w:val="true"/>
        </w:trPr>
        <w:tc>
          <w:tcPr>
            <w:tcW w:w="4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spacing w:lineRule="auto" w:line="240"/>
              <w:ind w:left="720" w:right="0" w:hanging="0"/>
              <w:jc w:val="both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 xml:space="preserve">a) Oznaczenie lamp </w:t>
            </w:r>
          </w:p>
          <w:p>
            <w:pPr>
              <w:pStyle w:val="Normal"/>
              <w:spacing w:lineRule="auto" w:line="240" w:before="0" w:after="16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 xml:space="preserve">(bez tomografów komputerowych – patrz pkt. b) 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Zmniejszenie odszkodowania</w:t>
            </w:r>
          </w:p>
        </w:tc>
      </w:tr>
      <w:tr>
        <w:trPr>
          <w:trHeight w:val="255" w:hRule="atLeast"/>
          <w:cantSplit w:val="true"/>
        </w:trPr>
        <w:tc>
          <w:tcPr>
            <w:tcW w:w="40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1430" w:right="0" w:hanging="0"/>
              <w:jc w:val="both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po okresie użytkowania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miesięczny współczynnik</w:t>
            </w:r>
          </w:p>
        </w:tc>
      </w:tr>
      <w:tr>
        <w:trPr/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rentgenowskie (poza medycyną)</w:t>
            </w:r>
          </w:p>
          <w:p>
            <w:pPr>
              <w:pStyle w:val="Normal"/>
              <w:spacing w:lineRule="auto" w:line="240" w:before="0" w:after="16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laserowe (poza medycyną)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6 miesięcy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5,5 %</w:t>
            </w:r>
          </w:p>
        </w:tc>
      </w:tr>
      <w:tr>
        <w:trPr/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rentgenowskie-anodowe  - w szpitalach, oddziałach radiologicznych,</w:t>
            </w:r>
          </w:p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laserowe (w medycynie),</w:t>
            </w:r>
          </w:p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elektronopromieniowa (CRT) w zapisie FOTO- (poza medycyną)</w:t>
            </w:r>
          </w:p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analizujące (poza medycyną)</w:t>
            </w:r>
          </w:p>
          <w:p>
            <w:pPr>
              <w:pStyle w:val="Normal"/>
              <w:spacing w:lineRule="auto" w:line="240" w:before="0" w:after="16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Tyratrony (w medycynie)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12 miesięcy</w:t>
            </w:r>
          </w:p>
          <w:p>
            <w:pPr>
              <w:pStyle w:val="Normal"/>
              <w:spacing w:lineRule="auto" w:line="240" w:before="0" w:after="16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3,0 %</w:t>
            </w:r>
          </w:p>
          <w:p>
            <w:pPr>
              <w:pStyle w:val="Normal"/>
              <w:spacing w:lineRule="auto" w:line="240" w:before="0" w:after="16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kineskopowe (poza medycyną)</w:t>
            </w:r>
          </w:p>
          <w:p>
            <w:pPr>
              <w:pStyle w:val="Normal"/>
              <w:spacing w:lineRule="auto" w:line="240" w:before="0" w:after="16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wysokiej częstotliwości (poza medycyną)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18 miesięcy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2,5 %</w:t>
            </w:r>
          </w:p>
        </w:tc>
      </w:tr>
      <w:tr>
        <w:trPr/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Rentgeny-lampy anodowe przy częściach rentgenologicznych (w medycynie )</w:t>
            </w:r>
          </w:p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Inne lampy projektowe (w medycynie)</w:t>
            </w:r>
          </w:p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pamięciowe (poza medycyną)</w:t>
            </w:r>
          </w:p>
          <w:p>
            <w:pPr>
              <w:pStyle w:val="Normal"/>
              <w:spacing w:lineRule="auto" w:line="240" w:before="0" w:after="16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fotopowielaczy (poza medycyną)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2,0 %</w:t>
            </w:r>
          </w:p>
        </w:tc>
      </w:tr>
      <w:tr>
        <w:trPr/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regulacyjne / stabilizujące (w medycynie)</w:t>
            </w:r>
          </w:p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Rentgenowskie lampy wzmacniające obraz (w medycynie)</w:t>
            </w:r>
          </w:p>
          <w:p>
            <w:pPr>
              <w:pStyle w:val="Normal"/>
              <w:spacing w:lineRule="auto" w:line="24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analizujące / Kineskopy (w medycynie)</w:t>
            </w:r>
          </w:p>
          <w:p>
            <w:pPr>
              <w:pStyle w:val="Normal"/>
              <w:spacing w:lineRule="auto" w:line="240" w:before="0" w:after="160"/>
              <w:ind w:left="72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Lampy akceleratora liniowego (w medycynie)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napToGrid w:val="false"/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/>
              <w:ind w:left="360" w:right="0" w:hanging="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auto" w:line="240" w:before="0" w:after="200"/>
              <w:ind w:left="720" w:right="0" w:hanging="360"/>
              <w:rPr>
                <w:rFonts w:ascii="Times New Roman" w:hAnsi="Times New Roman" w:cs="Tahoma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ahoma" w:ascii="Times New Roman" w:hAnsi="Times New Roman"/>
                <w:bCs/>
                <w:color w:val="000000"/>
                <w:spacing w:val="0"/>
                <w:sz w:val="22"/>
                <w:szCs w:val="22"/>
                <w:lang w:eastAsia="pl-PL"/>
              </w:rPr>
              <w:t>1,5 %</w:t>
            </w:r>
          </w:p>
        </w:tc>
      </w:tr>
    </w:tbl>
    <w:p>
      <w:pPr>
        <w:pStyle w:val="Normal"/>
        <w:spacing w:lineRule="auto" w:line="240"/>
        <w:ind w:left="360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</w:r>
    </w:p>
    <w:p>
      <w:pPr>
        <w:pStyle w:val="Normal"/>
        <w:spacing w:lineRule="auto" w:line="240"/>
        <w:ind w:left="720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Okres eksploatacji rozpoczyna się z chwilą pierwszego uruchomienia aparatu i obejmuje okresy eksploatacji u poprzednich posiadaczy.</w:t>
      </w:r>
    </w:p>
    <w:p>
      <w:pPr>
        <w:pStyle w:val="Normal"/>
        <w:spacing w:lineRule="auto" w:line="240"/>
        <w:ind w:left="709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W przypadku lamp rentgenowskich z obrotową anodą zdalnie wyłączanych i lamp płaskich  w tomografii komputerowej, kwota odszkodowania ulega zmniejszeniu o stawkę procentową obliczoną zgodnie z następującym schematem:</w:t>
      </w:r>
    </w:p>
    <w:p>
      <w:pPr>
        <w:pStyle w:val="Normal"/>
        <w:spacing w:lineRule="auto" w:line="240"/>
        <w:ind w:left="1437" w:right="0" w:hanging="0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  <w:u w:val="single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  <w:u w:val="single"/>
        </w:rPr>
        <w:t>P       x        100</w:t>
      </w:r>
    </w:p>
    <w:p>
      <w:pPr>
        <w:pStyle w:val="Normal"/>
        <w:spacing w:lineRule="auto" w:line="240"/>
        <w:ind w:left="1437" w:right="0" w:hanging="0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PG  x  X  x  Y</w:t>
      </w:r>
    </w:p>
    <w:p>
      <w:pPr>
        <w:pStyle w:val="Normal"/>
        <w:spacing w:lineRule="auto" w:line="240"/>
        <w:ind w:left="1437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gdzie:</w:t>
      </w:r>
    </w:p>
    <w:p>
      <w:pPr>
        <w:pStyle w:val="Normal"/>
        <w:spacing w:lineRule="auto" w:line="240"/>
        <w:ind w:left="360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</w:r>
    </w:p>
    <w:p>
      <w:pPr>
        <w:pStyle w:val="Normal"/>
        <w:spacing w:lineRule="auto" w:line="240"/>
        <w:ind w:left="1437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P =  liczba (włączeń) godzin lub miesięcy eksploatacji realizowanej z użyciem odnośnej lampy (włącznie z okresem użytkowania przez poprzedniego właściciela) przed wystąpieniem szkody, zależnie od tego, na której z powyższych metod obliczania zużycia oparte są warunki gwarancji producenta.</w:t>
      </w:r>
    </w:p>
    <w:p>
      <w:pPr>
        <w:pStyle w:val="Normal"/>
        <w:spacing w:lineRule="auto" w:line="240"/>
        <w:ind w:left="1437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PG = standardowy okres gwarancji udzielany przez producenta lamp obejmujący liczbę włączeń, godzin i m-cy eksploatacji,</w:t>
      </w:r>
    </w:p>
    <w:p>
      <w:pPr>
        <w:pStyle w:val="Normal"/>
        <w:spacing w:lineRule="auto" w:line="240"/>
        <w:ind w:left="1437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X  = współczynnik zależny od wieku lamp oraz udzielonej gwarancji przez  producenta dla lamp danego rodzaju:</w:t>
      </w:r>
    </w:p>
    <w:p>
      <w:pPr>
        <w:pStyle w:val="Normal"/>
        <w:spacing w:lineRule="auto" w:line="240"/>
        <w:ind w:left="652" w:right="0" w:firstLine="425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a) nowo zakupione lampy na gwarancji producenta współczynnik 1;</w:t>
      </w:r>
    </w:p>
    <w:p>
      <w:pPr>
        <w:pStyle w:val="Normal"/>
        <w:spacing w:lineRule="auto" w:line="240"/>
        <w:ind w:left="652" w:right="0" w:firstLine="425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b) lampy na gwarancji producenta lecz dla których pozostało nie  więcej niż 6 m-cy do zakończenia okresu gwarancji współczynnik 0,75;</w:t>
      </w:r>
    </w:p>
    <w:p>
      <w:pPr>
        <w:pStyle w:val="Normal"/>
        <w:spacing w:lineRule="auto" w:line="240"/>
        <w:ind w:left="652" w:right="0" w:firstLine="425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c) lampy nie posiadające gwarancji producenta współczynnik 0,30</w:t>
      </w:r>
    </w:p>
    <w:p>
      <w:pPr>
        <w:pStyle w:val="Normal"/>
        <w:tabs>
          <w:tab w:val="clear" w:pos="720"/>
          <w:tab w:val="left" w:pos="1437" w:leader="none"/>
        </w:tabs>
        <w:spacing w:lineRule="auto" w:line="240"/>
        <w:ind w:left="1437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Y  =    współczynnik likwidacyjny: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37" w:leader="none"/>
        </w:tabs>
        <w:spacing w:lineRule="auto" w:line="240" w:before="0" w:after="200"/>
        <w:ind w:left="1437" w:right="0" w:hanging="360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lampy rentgenowskie współczynnik 2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37" w:leader="none"/>
        </w:tabs>
        <w:spacing w:lineRule="auto" w:line="240" w:before="0" w:after="200"/>
        <w:ind w:left="1437" w:right="0" w:hanging="360"/>
        <w:jc w:val="both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lampy zdalnie wyłączane/lampy płaskie współczynnik 3.</w:t>
      </w:r>
    </w:p>
    <w:p>
      <w:pPr>
        <w:pStyle w:val="Normal"/>
        <w:spacing w:lineRule="auto" w:line="240"/>
        <w:ind w:left="708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Jeżeli nie została udzielona gwarancja standardowa, wówczas zastosowanie znajdują indywidualne warunki udzielonej gwarancji.</w:t>
      </w:r>
    </w:p>
    <w:p>
      <w:pPr>
        <w:pStyle w:val="Normal"/>
        <w:spacing w:lineRule="auto" w:line="240"/>
        <w:ind w:left="708" w:right="0" w:hanging="0"/>
        <w:rPr>
          <w:rFonts w:ascii="Times New Roman" w:hAnsi="Times New Roman" w:cs="Tahoma"/>
          <w:bCs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 xml:space="preserve">Urządzenia do jądrowego rezonansu magnetycznego 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Ustala się z zachowaniem pozostałych niezmienionych niniejszą klauzulą postanowień ogólnych warunków ubezpieczenia sprzętu elektronicznego, iż Ubezpieczyciel odpowiada za szkody w urządzeniach do jądrowego rezonansu magnetycznego tylko wówczas, gdy na te urządzenia zawarta została umowa o całkowitej konserwacji. W ramach niniejszej umowy środki chłodzące takie jak: hel, azot itp., są materiałami pomocniczymi w rozumieniu § 5 ust. 4 OWU sprzętu elektronicznego.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Koszty ogrzewania i/lub ochładzania kriostatem są tylko wtedy ubezpieczone, kiedy pozostają w bezpośrednim związku z obowiązkiem wypłaty odszkodowania za szkodę w ubezpieczonym sprzęcie.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Oblodzenie nie jest uznane jako szkoda w sprzęcie. Dostarczone przez producenta standardowe oprogramowanie lub koszty jego wymiany są tylko wtedy ubezpieczone, kiedy pozostają w bezpośrednim związku z obowiązkiem wypłaty odszkodowania za szkodę w ubezpieczonym sprzęcie, o ile uwzględniono te koszty podczas ustalania wysokości sumy ubezpieczenia.</w:t>
      </w:r>
    </w:p>
    <w:p>
      <w:pPr>
        <w:pStyle w:val="Default"/>
        <w:numPr>
          <w:ilvl w:val="0"/>
          <w:numId w:val="0"/>
        </w:numPr>
        <w:tabs>
          <w:tab w:val="clear" w:pos="720"/>
          <w:tab w:val="left" w:pos="0" w:leader="none"/>
          <w:tab w:val="left" w:pos="142" w:leader="none"/>
        </w:tabs>
        <w:spacing w:lineRule="auto" w:line="240"/>
        <w:ind w:left="1429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Brak zgody na włączenie klauzuli </w:t>
      </w: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  <w:t>121/1.</w:t>
      </w:r>
    </w:p>
    <w:p>
      <w:pPr>
        <w:pStyle w:val="Normal"/>
        <w:tabs>
          <w:tab w:val="clear" w:pos="720"/>
          <w:tab w:val="left" w:pos="0" w:leader="none"/>
          <w:tab w:val="left" w:pos="142" w:leader="none"/>
        </w:tabs>
        <w:spacing w:lineRule="auto" w:line="240"/>
        <w:ind w:left="709" w:right="0" w:hanging="0"/>
        <w:jc w:val="both"/>
        <w:rPr>
          <w:rFonts w:ascii="Times New Roman" w:hAnsi="Times New Roman" w:eastAsia="Times New Roman" w:cs="Tahoma"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Cs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Prosimy o wyrażenie zgody na wprowadzenie franszyzy redukcyjnej/udziału własnego w ubezpieczeniu mienia od wszystkich ryzyk w wysokości</w:t>
      </w: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 xml:space="preserve"> 1 000 zł.</w:t>
      </w:r>
    </w:p>
    <w:p>
      <w:pPr>
        <w:pStyle w:val="Default"/>
        <w:numPr>
          <w:ilvl w:val="0"/>
          <w:numId w:val="0"/>
        </w:numPr>
        <w:spacing w:lineRule="auto" w:line="240" w:before="0" w:after="200"/>
        <w:ind w:left="720" w:hanging="0"/>
        <w:contextualSpacing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Brak zgody.</w:t>
      </w:r>
    </w:p>
    <w:p>
      <w:pPr>
        <w:pStyle w:val="Normal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spacing w:lineRule="atLeast" w:line="240" w:before="0" w:after="200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Prosimy o wyrażenie zgody na wprowadzenie franszyzy redukcyjnej/udziału własnego w ubezpieczeniu sprzętu elektronicznego w wysokości 500 zł, dla nośników danych, oprogramowania, kosztów odtworzenia danych, sprzętu medycznego – 5% wartości odszkodowania min 500 zł</w:t>
      </w:r>
    </w:p>
    <w:p>
      <w:pPr>
        <w:pStyle w:val="Default"/>
        <w:numPr>
          <w:ilvl w:val="0"/>
          <w:numId w:val="0"/>
        </w:numPr>
        <w:spacing w:lineRule="atLeast" w:line="240" w:before="0" w:after="200"/>
        <w:ind w:left="72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numPr>
          <w:ilvl w:val="0"/>
          <w:numId w:val="2"/>
        </w:numPr>
        <w:spacing w:lineRule="atLeast" w:line="240" w:before="0" w:after="200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Brak zgody.</w:t>
      </w:r>
    </w:p>
    <w:p>
      <w:pPr>
        <w:pStyle w:val="Normal"/>
        <w:spacing w:lineRule="auto" w:line="276" w:before="0" w:after="0"/>
        <w:ind w:left="720" w:right="0" w:hanging="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 xml:space="preserve">W   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ubezpieczeniu mienia od wszystkich ryzyk i ubezpieczenia sprzętu elektronicznego</w:t>
      </w: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 xml:space="preserve"> prosimy o potwierdzenie,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iż  intencją Zamawiającego nie jest uzyskanie pokrycia  szkód w danych oraz szkód następczych, których przyczyną jest atak cybernetyczny/działanie hakera.</w:t>
      </w:r>
    </w:p>
    <w:p>
      <w:pPr>
        <w:pStyle w:val="Default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240" w:before="0" w:after="200"/>
        <w:ind w:left="72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20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_Hlk119348203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Nie jest intencją zamawiającego pokrywanie szkód cybernetycznych</w:t>
      </w:r>
      <w:bookmarkEnd w:id="2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200"/>
        <w:jc w:val="both"/>
        <w:rPr>
          <w:rFonts w:eastAsia="Times New Roman" w:cs="Tahoma"/>
          <w:spacing w:val="0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Prosimy o wyrażenie zgody  zgodę na włączenie do zakresu ubezpieczenia mienia od wszystkich ryzyk i ubezpieczenia sprzętu elektronicznego Klauzuli wyłączającej ryzyka cybernetyczne w poniższej treści:</w:t>
      </w:r>
    </w:p>
    <w:p>
      <w:pPr>
        <w:pStyle w:val="Normal"/>
        <w:spacing w:lineRule="auto" w:line="276" w:before="0" w:after="0"/>
        <w:ind w:left="644" w:right="0" w:hanging="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Niezależnie od treści jakichkolwiek innych postanowień niniejszej Polisy lub jakichkolwiek klauzul rozszerzających jej postanowienia uzgadnia się, że Ubezpieczyciel nie odpowiada za jakiekolwiek szkody powstałe w danych elektronicznych, w tym zniszczenie, zakłócenie, usunięcie, uszkodzenie lub zmianę, powstałe z jakiegokolwiek powodu (w tym, lecz nie wyłącznie, spowodowanych przez wirusy komputerowe lub inne oprogramowanie o podobnym charakterze, lub wskutek działań hakerów lub innych osób, polegających na nieautoryzowanym dostępie lub ingerencji w dane elektroniczne) oraz wynikające z nich jakiekolwiek szkody następcze, w tym, lecz nie wyłącznie, fizyczne szkody w ubezpieczonym mieniu, utratę możliwości użytkowania, obniżenie funkcjonalności, utratę zysku będącą następstwem zakłócenia bądź przerwy w działalności, a także koszty i nakłady dowolnego rodzaju, niezależnie od jakichkolwiek innych powodów lub zdarzeń, które przyczyniły się równocześnie lub w dowolnej innej kolejności do powstania szkód.</w:t>
      </w:r>
    </w:p>
    <w:p>
      <w:pPr>
        <w:pStyle w:val="Normal"/>
        <w:spacing w:lineRule="auto" w:line="276" w:before="0" w:after="0"/>
        <w:ind w:left="644" w:right="0" w:hanging="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Przy czym za:</w:t>
      </w:r>
    </w:p>
    <w:p>
      <w:pPr>
        <w:pStyle w:val="Normal"/>
        <w:spacing w:lineRule="auto" w:line="276" w:before="0" w:after="0"/>
        <w:ind w:left="644" w:right="0" w:hanging="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- dane elektroniczne uważa się fakty, koncepcje i informacje w formie nadającej się do komunikacji,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urządzeń.</w:t>
      </w:r>
    </w:p>
    <w:p>
      <w:pPr>
        <w:pStyle w:val="Normal"/>
        <w:spacing w:lineRule="auto" w:line="276" w:before="0" w:after="0"/>
        <w:ind w:left="644" w:right="0" w:hanging="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- wirus komputerowy uważa się zestaw szkodliwych lub nieautoryzowanych instrukcji bądź kod zawierający szereg nieautoryzowanych instrukcji wprowadzonych w złej wierze lub kod, programowy bądź inny, który rozpowszechnia się za pomocą dowolnego systemu lub sieci komputerowej. Wirusy Komputerowe obejmują m.in. „konie trojańskie”, „robaki” i „bomby czasowe i logiczne”.</w:t>
      </w:r>
    </w:p>
    <w:p>
      <w:pPr>
        <w:pStyle w:val="Default"/>
        <w:numPr>
          <w:ilvl w:val="0"/>
          <w:numId w:val="0"/>
        </w:numPr>
        <w:spacing w:lineRule="auto" w:line="276" w:before="0" w:after="0"/>
        <w:ind w:left="1364" w:right="0" w:hanging="0"/>
        <w:contextualSpacing/>
        <w:jc w:val="both"/>
        <w:rPr>
          <w:rFonts w:eastAsia="Times New Roman" w:cs="Tahoma"/>
          <w:color w:val="000000"/>
          <w:spacing w:val="0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Default"/>
        <w:numPr>
          <w:ilvl w:val="0"/>
          <w:numId w:val="0"/>
        </w:numPr>
        <w:spacing w:lineRule="auto" w:line="276" w:before="0" w:after="0"/>
        <w:ind w:left="1364" w:right="0" w:hanging="0"/>
        <w:contextualSpacing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276" w:before="0" w:after="0"/>
        <w:ind w:left="644" w:right="0" w:hanging="0"/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Nie jest intencją zamawiającego pokrywanie szkód cybernetycznych.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 w:eastAsia="Times New Roman" w:cs="Tahoma"/>
          <w:b/>
          <w:b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b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9. Prosimy o wprowadzenie tej  części zamówienia poniższego zapisu </w:t>
        <w:br/>
        <w:t xml:space="preserve">Klauzula - wyłączenie choroby zakaźnej 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1.</w:t>
        <w:tab/>
        <w:t xml:space="preserve">Z zachowaniem pozostałych niezmienionych niniejszą klauzulą postanowień niniejszej umowy ubezpieczenia, Strony postanawiają, że z zakresu ochrony ubezpieczeniowej wyłączone są wszelkie straty, szkody, odpowiedzialność, roszczenia, koszty lub wydatki, niezależnie od ich charakteru (szkody), spowodowane przez, wynikające z lub związane z chorobą zakaźną, niezależnie od zajścia innych zdarzeń przyczyniających się jednocześnie lub w jakiejkolwiek innej kolejności do powstania tych szkód, chyba że spowodowane są one również innym zdarzeniem  objętym ochroną na podstawie niniejszej umowy ubezpieczenia. 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2.</w:t>
        <w:tab/>
        <w:t xml:space="preserve">W rozumieniu niniejszej  klauzuli choroba zakaźna oznacza każdą chorobę, która może zostać przeniesiona za pomocą dowolnej substancji lub czynnika z dowolnego organizmu na inny organizm, w przypadku gdy:  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1)</w:t>
        <w:tab/>
        <w:t xml:space="preserve">substancja lub czynnik zawiera, ale nie wyłącznie, wirus, bakterię, pasożyta lub inny organizm lub jego odmianę, niezależnie od tego, czy jest uważany za żywy, czy też nie, oraz  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2)</w:t>
        <w:tab/>
        <w:t xml:space="preserve">metoda przenoszenia, bezpośredniego lub pośredniego, obejmuje między innymi przenoszenie drogą powietrzną, przenoszenie płynów ustrojowych, przenoszenie z lub na dowolną powierzchnię lub przedmiot, ciało stałe, płynne lub gazowe, lub między organizmami, oraz  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3)</w:t>
        <w:tab/>
        <w:t>choroba, substancja lub środek mogą powodować lub grozić spowodowaniem szkody dla zdrowia ludzkiego lub dobrobytu ludzi albo mogą powodować lub grozić spowodowaniem szkody, pogorszenia, utraty wartości, zbywalności lub utraty możliwości korzystania z rzeczy.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eastAsia="Times New Roman" w:cs="Tahoma"/>
          <w:color w:val="000000"/>
          <w:spacing w:val="0"/>
          <w:lang w:eastAsia="pl-P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0"/>
        </w:numPr>
        <w:spacing w:lineRule="auto" w:line="276" w:before="0" w:after="0"/>
        <w:ind w:left="1004" w:right="0" w:hanging="0"/>
        <w:contextualSpacing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276" w:before="0" w:after="0"/>
        <w:ind w:left="644" w:right="0" w:hanging="360"/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akceptuje klauzulę wyłączenia choroby zakaźnej w szkodach majątkowych.</w:t>
      </w:r>
    </w:p>
    <w:p>
      <w:pPr>
        <w:pStyle w:val="Normal"/>
        <w:spacing w:lineRule="auto" w:line="276" w:before="0" w:after="0"/>
        <w:ind w:left="644" w:right="0" w:hanging="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Prosimy o informację dotyczącą miejsca składowania materiałów palnych – w którym budynku zlokalizowane jest to pomieszczenie oraz jakie są jego zabezpieczenia ppoż </w:t>
        <w:br/>
        <w:t>i przeciwkradzieżowe.</w:t>
      </w:r>
    </w:p>
    <w:p>
      <w:pPr>
        <w:pStyle w:val="Default"/>
        <w:numPr>
          <w:ilvl w:val="0"/>
          <w:numId w:val="0"/>
        </w:numPr>
        <w:spacing w:lineRule="auto" w:line="240" w:before="0" w:after="200"/>
        <w:ind w:left="644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644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Nie prowadzi się składowiska materiałów palnych.</w:t>
      </w:r>
    </w:p>
    <w:p>
      <w:pPr>
        <w:pStyle w:val="Normal"/>
        <w:spacing w:lineRule="auto" w:line="240"/>
        <w:ind w:left="644" w:right="0" w:hanging="0"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Prosimy o informację dotyczącą miejsca składowania butli z tlenem– gdzie i jak jest zlokalizowana przedmiotowy budynek/budowla w stosunku do innych budynków/budowli. Jaka jest konstrukcja tego budynku/budowli i jakie są zabezpieczenia ppoż i przeciwkradzieżowe.</w:t>
      </w:r>
    </w:p>
    <w:p>
      <w:pPr>
        <w:pStyle w:val="Default"/>
        <w:numPr>
          <w:ilvl w:val="0"/>
          <w:numId w:val="0"/>
        </w:numPr>
        <w:spacing w:lineRule="auto" w:line="240" w:before="0" w:after="200"/>
        <w:ind w:left="644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644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Butle z tlenem przechowywane są w murowanym budynku szpitala.</w:t>
      </w:r>
    </w:p>
    <w:p>
      <w:pPr>
        <w:pStyle w:val="Normal"/>
        <w:spacing w:lineRule="auto" w:line="276" w:before="0" w:after="0"/>
        <w:ind w:left="720" w:right="0" w:hanging="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jc w:val="both"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Prosimy o odpowiedź na następujące pytania:</w:t>
      </w:r>
    </w:p>
    <w:p>
      <w:pPr>
        <w:pStyle w:val="Normal"/>
        <w:spacing w:lineRule="auto" w:line="276" w:before="0" w:after="0"/>
        <w:ind w:left="720" w:right="0" w:hanging="0"/>
        <w:contextualSpacing/>
        <w:rPr>
          <w:rFonts w:ascii="Times New Roman" w:hAnsi="Times New Roman" w:eastAsia="Times New Roman" w:cs="Tahoma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360" w:before="0" w:after="200"/>
        <w:jc w:val="both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Czy mienie będące przedmiotem ubezpieczenia lub pozostające w związku z ubezpieczeniem  odpowiedzialności cywilnej, utraty zysku jest zabezpieczone w sposób przewidziany obowiązującymi przepisami aktów prawnych w zakresie ochrony przeciwpożarowej, w szczególności:</w:t>
      </w:r>
    </w:p>
    <w:p>
      <w:pPr>
        <w:pStyle w:val="Normal"/>
        <w:spacing w:lineRule="auto" w:line="360"/>
        <w:ind w:left="720" w:right="0" w:hanging="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a)  ustawą o ochronie przeciwpożarowej  (Dz. U. z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2009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r.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Nr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178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poz.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1380 </w:t>
      </w: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z późn. zm.);</w:t>
      </w:r>
    </w:p>
    <w:p>
      <w:pPr>
        <w:pStyle w:val="Default"/>
        <w:numPr>
          <w:ilvl w:val="0"/>
          <w:numId w:val="0"/>
        </w:numPr>
        <w:spacing w:lineRule="auto" w:line="360"/>
        <w:ind w:left="144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360"/>
        <w:ind w:left="72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T</w:t>
      </w:r>
      <w:bookmarkStart w:id="3" w:name="_Hlk117859544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ak</w:t>
      </w:r>
      <w:bookmarkEnd w:id="3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.</w:t>
      </w:r>
    </w:p>
    <w:p>
      <w:pPr>
        <w:pStyle w:val="Normal"/>
        <w:spacing w:lineRule="auto" w:line="360"/>
        <w:ind w:left="1036" w:right="0" w:hanging="572"/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color w:val="000000"/>
          <w:spacing w:val="0"/>
          <w:sz w:val="22"/>
          <w:szCs w:val="22"/>
        </w:rPr>
        <w:t xml:space="preserve">   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b) ustawą w sprawie warunków technicznych, jakimi powinny odpowiadać budynki i ich   usytuowanie (Dz. U. z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2002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r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Nr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75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poz.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690 </w:t>
      </w: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z późn. zm.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>)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;</w:t>
      </w:r>
    </w:p>
    <w:p>
      <w:pPr>
        <w:pStyle w:val="Normal"/>
        <w:spacing w:lineRule="auto" w:line="360"/>
        <w:ind w:left="1036" w:right="0" w:hanging="572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360"/>
        <w:ind w:left="1036" w:right="0" w:hanging="572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T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ak.</w:t>
      </w:r>
    </w:p>
    <w:p>
      <w:pPr>
        <w:pStyle w:val="Normal"/>
        <w:spacing w:lineRule="auto" w:line="360"/>
        <w:ind w:left="994" w:right="0" w:hanging="544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c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)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rozporządzeniem w sprawie ochrony przeciwpożarowej budynków, innych obiektów budowlanych i terenów (Dz. U. z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2010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r.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Nr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109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poz.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719 </w:t>
      </w: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z późn. zm.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>)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?</w:t>
      </w:r>
    </w:p>
    <w:p>
      <w:pPr>
        <w:pStyle w:val="Default"/>
        <w:numPr>
          <w:ilvl w:val="0"/>
          <w:numId w:val="0"/>
        </w:numPr>
        <w:spacing w:lineRule="auto" w:line="360"/>
        <w:ind w:left="117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360"/>
        <w:ind w:left="994" w:right="0" w:hanging="544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T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ak.</w:t>
      </w:r>
    </w:p>
    <w:p>
      <w:pPr>
        <w:pStyle w:val="Normal"/>
        <w:spacing w:lineRule="auto" w:line="360"/>
        <w:ind w:left="994" w:right="0" w:hanging="544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</w:r>
    </w:p>
    <w:p>
      <w:pPr>
        <w:pStyle w:val="Normal"/>
        <w:autoSpaceDE w:val="false"/>
        <w:spacing w:lineRule="auto" w:line="360"/>
        <w:ind w:left="742" w:right="0" w:hanging="364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 xml:space="preserve">2) Czy stanowiska pracy spełniają wymagania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dotyczące bezpieczeństwa i higieny pracy  w środowisku pracy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, w szczególności zapisane w:</w:t>
      </w:r>
    </w:p>
    <w:p>
      <w:pPr>
        <w:pStyle w:val="Normal"/>
        <w:autoSpaceDE w:val="false"/>
        <w:spacing w:lineRule="auto" w:line="360"/>
        <w:ind w:left="994" w:right="0" w:hanging="28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 xml:space="preserve">a)  ustawie </w:t>
      </w: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 xml:space="preserve">w sprawie minimalnych wymagań, dotyczących bezpieczeństwa i higieny pracy,  </w:t>
      </w:r>
    </w:p>
    <w:p>
      <w:pPr>
        <w:pStyle w:val="Normal"/>
        <w:autoSpaceDE w:val="false"/>
        <w:spacing w:lineRule="auto" w:line="360"/>
        <w:ind w:left="994" w:right="0" w:hanging="308"/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bCs/>
          <w:color w:val="000000"/>
          <w:spacing w:val="0"/>
          <w:sz w:val="22"/>
          <w:szCs w:val="22"/>
        </w:rPr>
        <w:t xml:space="preserve">     </w:t>
      </w:r>
      <w:r>
        <w:rPr>
          <w:rFonts w:cs="Tahoma" w:ascii="Times New Roman" w:hAnsi="Times New Roman"/>
          <w:bCs/>
          <w:color w:val="000000"/>
          <w:spacing w:val="0"/>
          <w:sz w:val="22"/>
          <w:szCs w:val="22"/>
        </w:rPr>
        <w:t>związanych z możliwością wystąpienia w miejscu pracy atmosfery wybuchowej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 xml:space="preserve"> </w:t>
      </w:r>
    </w:p>
    <w:p>
      <w:pPr>
        <w:pStyle w:val="Normal"/>
        <w:autoSpaceDE w:val="false"/>
        <w:spacing w:lineRule="auto" w:line="360"/>
        <w:ind w:left="994" w:right="0" w:hanging="308"/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color w:val="000000"/>
          <w:spacing w:val="0"/>
          <w:sz w:val="22"/>
          <w:szCs w:val="22"/>
        </w:rPr>
        <w:t xml:space="preserve">    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(Dz. U. z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2010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r.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Nr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138 </w:t>
      </w:r>
      <w:r>
        <w:rPr>
          <w:rFonts w:cs="Tahoma" w:ascii="Times New Roman" w:hAnsi="Times New Roman"/>
          <w:color w:val="000000"/>
          <w:spacing w:val="0"/>
          <w:sz w:val="22"/>
          <w:szCs w:val="22"/>
        </w:rPr>
        <w:t>poz.</w:t>
      </w:r>
      <w:r>
        <w:rPr>
          <w:rFonts w:cs="Tahoma" w:ascii="Times New Roman" w:hAnsi="Times New Roman"/>
          <w:bCs/>
          <w:caps/>
          <w:color w:val="000000"/>
          <w:spacing w:val="0"/>
          <w:sz w:val="22"/>
          <w:szCs w:val="22"/>
        </w:rPr>
        <w:t xml:space="preserve"> 931) ?</w:t>
      </w:r>
    </w:p>
    <w:p>
      <w:pPr>
        <w:pStyle w:val="Default"/>
        <w:numPr>
          <w:ilvl w:val="0"/>
          <w:numId w:val="0"/>
        </w:numPr>
        <w:autoSpaceDE w:val="false"/>
        <w:spacing w:lineRule="auto" w:line="360"/>
        <w:ind w:left="1406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ap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autoSpaceDE w:val="false"/>
        <w:spacing w:lineRule="auto" w:line="360"/>
        <w:ind w:left="994" w:right="0" w:hanging="308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T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ak.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Czy obiekty budowlane są użytkowane i utrzymywane zgodnie z przepisami prawa budowlanego (Dz. U. z 2010 r. Nr 243 poz. 1623) – Tekst jednolity ustawy Prawo Budowlane?</w:t>
      </w:r>
    </w:p>
    <w:p>
      <w:pPr>
        <w:pStyle w:val="Default"/>
        <w:numPr>
          <w:ilvl w:val="0"/>
          <w:numId w:val="0"/>
        </w:numPr>
        <w:spacing w:lineRule="auto" w:line="360" w:before="0" w:after="200"/>
        <w:ind w:left="72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T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ak.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Czy obiekty budowlane oraz wykorzystywane instalacje techniczne podlegają regularnym przeglądom okresowym stanu technicznego i/lub dozorowi technicznemu, wykonywanym przez uprawnione podmioty? Czy w protokołach z dokonanych przeglądów nie stwierdzono zastrzeżeń warunkujących ich użytkowanie?</w:t>
      </w:r>
    </w:p>
    <w:p>
      <w:pPr>
        <w:pStyle w:val="Normal"/>
        <w:spacing w:lineRule="auto" w:line="360"/>
        <w:ind w:left="360" w:right="0" w:hanging="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ab/>
        <w:t>W szczególności przeglądy okresowe dotyczą: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a) przydatności do użytkowania obiektu budowlanego, estetyki obiektu budowlanego oraz jego otoczenia;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b) sprzętu przeciwpożarowego;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c) instalacji elektrycznej i odgromowej;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d) instalacji gazowej;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e) przewodów kominowych (dymowe, spalinowe, wentylacyjne);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f) instalacji gazów medycznych;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g) instalacji wodociągowa przeciwpożarowa;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 w:cs="Tahoma"/>
          <w:color w:val="000000"/>
          <w:spacing w:val="0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h) instalacji ciśnieniowych;</w:t>
      </w:r>
    </w:p>
    <w:p>
      <w:pPr>
        <w:pStyle w:val="Normal"/>
        <w:spacing w:lineRule="auto" w:line="360"/>
        <w:ind w:left="900" w:right="0" w:hanging="18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000000"/>
          <w:spacing w:val="0"/>
          <w:sz w:val="22"/>
          <w:szCs w:val="22"/>
        </w:rPr>
        <w:t>i) urządzeń dźwigowych.</w:t>
      </w:r>
    </w:p>
    <w:p>
      <w:pPr>
        <w:pStyle w:val="Default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spacing w:lineRule="auto" w:line="360"/>
        <w:ind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T</w:t>
      </w: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ak.</w:t>
      </w:r>
    </w:p>
    <w:p>
      <w:pPr>
        <w:pStyle w:val="Normal"/>
        <w:jc w:val="both"/>
        <w:rPr>
          <w:rFonts w:ascii="Times New Roman" w:hAnsi="Times New Roman" w:cs="Source Sans Pro"/>
          <w:color w:val="000000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KLAUZULE DODATKOWE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Przezornej sumy ubezpieczenia- dotyczy wszystkich ubezpieczeń”- prosimy o odniesienie jaj wyłącznie do ubezpieczenia mienia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potwierdza, że wnioskowana przezorna suma nie dotyczy ubezpieczeń OC.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Klauzula samolikwidacji - dotyczy wszystkich ubezpieczeń” -prosimy o wykreślenie lub potwierdzenie że nie dotyczy ubezpieczeń odpowiedzialności cywilnej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potwierdza, że wnioskowana przezorna suma nie dotyczy ubezpieczeń OC.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Klauzula szybkiej likwidacji  - dotyczy wszystkich ubezpieczeń” -prosimy o wykreślenie lub potwierdzenie że nie dotyczy ubezpieczeń odpowiedzialności cywilnej. Prosimy o wydłużenie czasu do 3 dni roboczych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potwierdza, że klauzula szybkiej likwidacji obejmuje czas 3 dni roboczych.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Kosztów poszukiwania przyczyny powstania szkody -  dotyczy wszystkich ubezpieczeń” -prosimy o wykreślenie lub potwierdzenie że nie dotyczy ubezpieczeń odpowiedzialności cywilnej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potwierdza, że wnioskowana przezorna suma nie dotyczy ubezpieczeń OC.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Zabezpieczeń przeciw kradzieżowych- Dotyczy wszystkich ubezpieczeń majątkowych” -prosimy o wykreślenie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potwierdza, że wnioskowana przezorna suma nie dotyczy ubezpieczeń OC.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Zabezpieczeń przeciwpożarowych- Dotyczy wszystkich ubezpieczeń majątkowych” -prosimy o wykreślenie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potwierdza, że wnioskowana przezorna suma nie dotyczy ubezpieczeń OC.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Klauzula uderzenia pojazdu własnego – dotyczy OC” – prosimy o potwierdzenie, że zamawiający oczekuje ochrony za szkody w majątku wyrządzone  przez  pojazd  własny lub będący w posiadaniu ubezpieczonego.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4" w:name="_Hlk117860435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</w:t>
      </w:r>
      <w:bookmarkEnd w:id="4"/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 xml:space="preserve"> potwierdza, że oczekuje ochrony za szkody wyrządzone uderzeniem samochodu w tym również własnego 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„</w:t>
      </w:r>
      <w:r>
        <w:rPr>
          <w:rFonts w:cs="Source Sans Pro" w:ascii="Times New Roman" w:hAnsi="Times New Roman"/>
          <w:color w:val="000000"/>
          <w:sz w:val="22"/>
          <w:szCs w:val="22"/>
        </w:rPr>
        <w:t>Klauzula remontowa- dotyczy ubezpieczenia majątkowego – prosimy o ustanowienie limitu odpowiedzialności w wys 10 000PLN na jedno i wszystkie zdarzenia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bCs/>
          <w:color w:val="000000"/>
          <w:spacing w:val="0"/>
          <w:sz w:val="22"/>
          <w:szCs w:val="22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pacing w:val="0"/>
          <w:sz w:val="22"/>
          <w:szCs w:val="22"/>
          <w:lang w:eastAsia="pl-PL"/>
        </w:rPr>
        <w:t>Zamawiający akceptuje limit w wysokości 20.000,00zł.</w:t>
      </w:r>
    </w:p>
    <w:p>
      <w:pPr>
        <w:pStyle w:val="Normal"/>
        <w:jc w:val="both"/>
        <w:rPr>
          <w:rFonts w:ascii="Times New Roman" w:hAnsi="Times New Roman" w:cs="Source Sans Pro"/>
          <w:color w:val="000000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Source Sans Pro"/>
          <w:color w:val="000000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KLAUZULE FAKULTATYWNE</w:t>
      </w:r>
    </w:p>
    <w:p>
      <w:pPr>
        <w:pStyle w:val="Normal"/>
        <w:jc w:val="both"/>
        <w:rPr>
          <w:rFonts w:ascii="Times New Roman" w:hAnsi="Times New Roman" w:cs="Source Sans Pro"/>
          <w:color w:val="000000"/>
          <w:sz w:val="22"/>
          <w:szCs w:val="22"/>
        </w:rPr>
      </w:pPr>
      <w:r>
        <w:rPr>
          <w:rFonts w:cs="Source Sans Pro" w:ascii="Times New Roman" w:hAnsi="Times New Roman"/>
          <w:color w:val="000000"/>
          <w:sz w:val="22"/>
          <w:szCs w:val="22"/>
        </w:rPr>
        <w:t>Prosimy o wyrażenie zgody na nw treść klauzuli funduszu prewencyjnego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Source Sans Pro" w:ascii="Times New Roman" w:hAnsi="Times New Roman"/>
          <w:b w:val="false"/>
          <w:bCs w:val="false"/>
          <w:i/>
          <w:iCs w:val="false"/>
          <w:color w:val="000000"/>
          <w:sz w:val="22"/>
          <w:szCs w:val="22"/>
          <w:u w:val="none"/>
        </w:rPr>
        <w:t>Wykonawca  deklaruje przyznanie jednorazowego dofinansowania ze środków funduszu prewencyjnego Wykonawcy w wysokości 10% wpłaconych składek  w okresie obowiązywania umowy ubezpieczenia, przy założeniu, że środki te zostaną przeznaczone wyłącznie na działalność mającą na celu zapobieganie powstawaniu lub zmniejszanie skutków wypadków ubezpieczeniowych, a cel prewencyjny zostanie zaakceptowany przez Wykonawcę. Wszystkie czynności, które zostaną podjęte w związku z przyznaniem i przeznaczeniem środków zrealizowane zostaną w oparciu o uregulowania wewnętrzne Wykonawcy obowiązujące w dniu podpisania umowy prewencyjnej.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ahoma" w:ascii="Times New Roman" w:hAnsi="Times New Roman"/>
          <w:b/>
          <w:bCs/>
          <w:i w:val="false"/>
          <w:iCs w:val="false"/>
          <w:color w:val="000000"/>
          <w:spacing w:val="0"/>
          <w:sz w:val="22"/>
          <w:szCs w:val="22"/>
          <w:u w:val="none"/>
          <w:lang w:eastAsia="pl-PL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eastAsia="pl-PL"/>
        </w:rPr>
        <w:t>Zamawiający akceptuje treść klauzuli prewencyjnej o treści : Wykonawca  deklaruje przyznanie jednorazowego dofinansowania ze środków funduszu prewencyjnego Wykonawcy w wysokości 10% wpłaconych składek  w całym 3 letnim okresie obowiązywania umowy ubezpieczenia, przy założeniu, że środki te zostaną przeznaczone wyłącznie na działalność mającą na celu zapobieganie powstawaniu lub zmniejszanie skutków wypadków ubezpieczeniowych, a cel prewencyjny zostanie zaakceptowany przez Wykonawcę. Wszystkie czynności, które zostaną podjęte w związku z przyznaniem i przeznaczeniem środków zrealizowane zostaną w oparciu o uregulowania wewnętrzne Wykonawcy obowiązujące w dniu podpisania umowy prewencyjnej.  Zamawiający dopuszcza modyfikację przez wykonawcę treści niniejszej klauzuli pod warunkiem, że będzie to środki na poziomie 10% - 3 letniej składki.</w:t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Kierownik Działu Organizacyjno-Prawnego i Kadr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Maria Zyguła-Koziara</w:t>
      </w:r>
    </w:p>
    <w:p>
      <w:pPr>
        <w:pStyle w:val="Normal"/>
        <w:spacing w:before="0" w:after="160"/>
        <w:jc w:val="both"/>
        <w:rPr>
          <w:rFonts w:eastAsia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Times New Roman" w:hAnsi="Times New Roman" w:cs="Tahoma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16"/>
        <w:spacing w:val="0"/>
        <w:szCs w:val="16"/>
        <w:bCs/>
        <w:rFonts w:cs="Tahoma"/>
        <w:color w:val="000000"/>
      </w:rPr>
    </w:lvl>
  </w:abstractNum>
  <w:abstractNum w:abstractNumId="6">
    <w:lvl w:ilvl="0">
      <w:start w:val="10"/>
      <w:numFmt w:val="decimal"/>
      <w:lvlText w:val="%1."/>
      <w:lvlJc w:val="left"/>
      <w:pPr>
        <w:ind w:left="644" w:hanging="360"/>
      </w:pPr>
      <w:rPr>
        <w:sz w:val="22"/>
        <w:spacing w:val="0"/>
        <w:szCs w:val="22"/>
        <w:rFonts w:ascii="Times New Roman" w:hAnsi="Times New Roman" w:eastAsia="Times New Roman" w:cs="Tahoma"/>
        <w:color w:val="000000"/>
        <w:lang w:eastAsia="pl-PL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pacing w:val="0"/>
        <w:szCs w:val="16"/>
        <w:rFonts w:cs="Times New Roman"/>
        <w:color w:val="00000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overflowPunct w:val="false"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WW8Num4z0">
    <w:name w:val="WW8Num4z0"/>
    <w:qFormat/>
    <w:rPr>
      <w:rFonts w:ascii="Times New Roman" w:hAnsi="Times New Roman" w:cs="Tahoma"/>
      <w:color w:val="000000"/>
      <w:sz w:val="22"/>
      <w:szCs w:val="22"/>
    </w:rPr>
  </w:style>
  <w:style w:type="character" w:styleId="WW8Num8z0">
    <w:name w:val="WW8Num8z0"/>
    <w:qFormat/>
    <w:rPr/>
  </w:style>
  <w:style w:type="character" w:styleId="WW8Num5z0">
    <w:name w:val="WW8Num5z0"/>
    <w:qFormat/>
    <w:rPr>
      <w:rFonts w:cs="Tahoma"/>
      <w:bCs/>
      <w:color w:val="000000"/>
      <w:spacing w:val="0"/>
      <w:sz w:val="16"/>
      <w:szCs w:val="16"/>
    </w:rPr>
  </w:style>
  <w:style w:type="character" w:styleId="WW8Num7z0">
    <w:name w:val="WW8Num7z0"/>
    <w:qFormat/>
    <w:rPr>
      <w:rFonts w:ascii="Times New Roman" w:hAnsi="Times New Roman" w:eastAsia="Times New Roman" w:cs="Tahoma"/>
      <w:color w:val="000000"/>
      <w:spacing w:val="0"/>
      <w:sz w:val="22"/>
      <w:szCs w:val="22"/>
      <w:lang w:eastAsia="pl-PL"/>
    </w:rPr>
  </w:style>
  <w:style w:type="character" w:styleId="WW8Num6z0">
    <w:name w:val="WW8Num6z0"/>
    <w:qFormat/>
    <w:rPr>
      <w:rFonts w:cs="Times New Roman"/>
      <w:color w:val="000000"/>
      <w:spacing w:val="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overflowPunct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LibreOffice/6.2.5.2$Windows_x86 LibreOffice_project/1ec314fa52f458adc18c4f025c545a4e8b22c159</Application>
  <Pages>13</Pages>
  <Words>3715</Words>
  <Characters>25299</Characters>
  <CharactersWithSpaces>28906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2022-10-25T15:42:00Z</dcterms:created>
  <dc:creator>Lasek, Agnieszka</dc:creator>
  <dc:description/>
  <dc:language>pl-PL</dc:language>
  <cp:lastModifiedBy/>
  <cp:lastPrinted>2022-11-15T09:37:57Z</cp:lastPrinted>
  <dcterms:modified xsi:type="dcterms:W3CDTF">2022-11-15T09:38:13Z</dcterms:modified>
  <cp:revision>17</cp:revision>
  <dc:subject/>
  <dc:title>PEŁNOMOCNICTWO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